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Comprehensive Risk Assessment for Sand Play in the Classroom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Hazard</w:t>
            </w:r>
          </w:p>
        </w:tc>
        <w:tc>
          <w:tcPr>
            <w:tcW w:type="dxa" w:w="1728"/>
          </w:tcPr>
          <w:p>
            <w:r>
              <w:t>Who is at Risk</w:t>
            </w:r>
          </w:p>
        </w:tc>
        <w:tc>
          <w:tcPr>
            <w:tcW w:type="dxa" w:w="1728"/>
          </w:tcPr>
          <w:p>
            <w:r>
              <w:t>Risk Level (Low/Med/High)</w:t>
            </w:r>
          </w:p>
        </w:tc>
        <w:tc>
          <w:tcPr>
            <w:tcW w:type="dxa" w:w="1728"/>
          </w:tcPr>
          <w:p>
            <w:r>
              <w:t>Control Measures</w:t>
            </w:r>
          </w:p>
        </w:tc>
        <w:tc>
          <w:tcPr>
            <w:tcW w:type="dxa" w:w="1728"/>
          </w:tcPr>
          <w:p>
            <w:r>
              <w:t>Residual Risk Level (Low/Med/High)</w:t>
            </w:r>
          </w:p>
        </w:tc>
      </w:tr>
      <w:tr>
        <w:tc>
          <w:tcPr>
            <w:tcW w:type="dxa" w:w="1728"/>
          </w:tcPr>
          <w:p>
            <w:r>
              <w:t>Sand ingestion</w:t>
            </w:r>
          </w:p>
        </w:tc>
        <w:tc>
          <w:tcPr>
            <w:tcW w:type="dxa" w:w="1728"/>
          </w:tcPr>
          <w:p>
            <w:r>
              <w:t>Children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Supervision during play, discourage eating/drinking near sand</w:t>
            </w:r>
          </w:p>
        </w:tc>
        <w:tc>
          <w:tcPr>
            <w:tcW w:type="dxa" w:w="1728"/>
          </w:tcPr>
          <w:p>
            <w:r>
              <w:t>Low</w:t>
            </w:r>
          </w:p>
        </w:tc>
      </w:tr>
      <w:tr>
        <w:tc>
          <w:tcPr>
            <w:tcW w:type="dxa" w:w="1728"/>
          </w:tcPr>
          <w:p>
            <w:r>
              <w:t>Sand in eyes</w:t>
            </w:r>
          </w:p>
        </w:tc>
        <w:tc>
          <w:tcPr>
            <w:tcW w:type="dxa" w:w="1728"/>
          </w:tcPr>
          <w:p>
            <w:r>
              <w:t>Children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Ensure sand is clean and dry, teach children not to throw sand</w:t>
            </w:r>
          </w:p>
        </w:tc>
        <w:tc>
          <w:tcPr>
            <w:tcW w:type="dxa" w:w="1728"/>
          </w:tcPr>
          <w:p>
            <w:r>
              <w:t>Low</w:t>
            </w:r>
          </w:p>
        </w:tc>
      </w:tr>
      <w:tr>
        <w:tc>
          <w:tcPr>
            <w:tcW w:type="dxa" w:w="1728"/>
          </w:tcPr>
          <w:p>
            <w:r>
              <w:t>Allergic reactions</w:t>
            </w:r>
          </w:p>
        </w:tc>
        <w:tc>
          <w:tcPr>
            <w:tcW w:type="dxa" w:w="1728"/>
          </w:tcPr>
          <w:p>
            <w:r>
              <w:t>Children with respiratory conditions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Use hypoallergenic sand, ensure proper ventilation</w:t>
            </w:r>
          </w:p>
        </w:tc>
        <w:tc>
          <w:tcPr>
            <w:tcW w:type="dxa" w:w="1728"/>
          </w:tcPr>
          <w:p>
            <w:r>
              <w:t>Low</w:t>
            </w:r>
          </w:p>
        </w:tc>
      </w:tr>
      <w:tr>
        <w:tc>
          <w:tcPr>
            <w:tcW w:type="dxa" w:w="1728"/>
          </w:tcPr>
          <w:p>
            <w:r>
              <w:t>Slipping on sand</w:t>
            </w:r>
          </w:p>
        </w:tc>
        <w:tc>
          <w:tcPr>
            <w:tcW w:type="dxa" w:w="1728"/>
          </w:tcPr>
          <w:p>
            <w:r>
              <w:t>Children, Staff</w:t>
            </w:r>
          </w:p>
        </w:tc>
        <w:tc>
          <w:tcPr>
            <w:tcW w:type="dxa" w:w="1728"/>
          </w:tcPr>
          <w:p>
            <w:r>
              <w:t>Low</w:t>
            </w:r>
          </w:p>
        </w:tc>
        <w:tc>
          <w:tcPr>
            <w:tcW w:type="dxa" w:w="1728"/>
          </w:tcPr>
          <w:p>
            <w:r>
              <w:t>Regular sweeping of surrounding area, monitor sand spills</w:t>
            </w:r>
          </w:p>
        </w:tc>
        <w:tc>
          <w:tcPr>
            <w:tcW w:type="dxa" w:w="1728"/>
          </w:tcPr>
          <w:p>
            <w:r>
              <w:t>Low</w:t>
            </w:r>
          </w:p>
        </w:tc>
      </w:tr>
      <w:tr>
        <w:tc>
          <w:tcPr>
            <w:tcW w:type="dxa" w:w="1728"/>
          </w:tcPr>
          <w:p>
            <w:r>
              <w:t>Contaminated sand</w:t>
            </w:r>
          </w:p>
        </w:tc>
        <w:tc>
          <w:tcPr>
            <w:tcW w:type="dxa" w:w="1728"/>
          </w:tcPr>
          <w:p>
            <w:r>
              <w:t>Children</w:t>
            </w:r>
          </w:p>
        </w:tc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Regularly replace sand, cover sand when not in use, ensure handwashing after play</w:t>
            </w:r>
          </w:p>
        </w:tc>
        <w:tc>
          <w:tcPr>
            <w:tcW w:type="dxa" w:w="1728"/>
          </w:tcPr>
          <w:p>
            <w:r>
              <w:t>Low</w:t>
            </w:r>
          </w:p>
        </w:tc>
      </w:tr>
      <w:tr>
        <w:tc>
          <w:tcPr>
            <w:tcW w:type="dxa" w:w="1728"/>
          </w:tcPr>
          <w:p>
            <w:r>
              <w:t>Choking on sand tools</w:t>
            </w:r>
          </w:p>
        </w:tc>
        <w:tc>
          <w:tcPr>
            <w:tcW w:type="dxa" w:w="1728"/>
          </w:tcPr>
          <w:p>
            <w:r>
              <w:t>Children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Provide age-appropriate tools, supervise during play</w:t>
            </w:r>
          </w:p>
        </w:tc>
        <w:tc>
          <w:tcPr>
            <w:tcW w:type="dxa" w:w="1728"/>
          </w:tcPr>
          <w:p>
            <w:r>
              <w:t>Low</w:t>
            </w:r>
          </w:p>
        </w:tc>
      </w:tr>
      <w:tr>
        <w:tc>
          <w:tcPr>
            <w:tcW w:type="dxa" w:w="1728"/>
          </w:tcPr>
          <w:p>
            <w:r>
              <w:t>Sand ingestion by children with pica</w:t>
            </w:r>
          </w:p>
        </w:tc>
        <w:tc>
          <w:tcPr>
            <w:tcW w:type="dxa" w:w="1728"/>
          </w:tcPr>
          <w:p>
            <w:r>
              <w:t>Children with pica disorder</w:t>
            </w:r>
          </w:p>
        </w:tc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Individual supervision for children with pica, monitor closely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