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Neuro-inclusive Phonics Observation Checklist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Observer: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____________|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Class/Teacher: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 |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Date: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Section 1: The Sensory &amp; Physical Environment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Is the room set up to reduce cognitive load and sensory friction?</w:t>
      </w:r>
    </w:p>
    <w:tbl>
      <w:tblPr>
        <w:tblStyle w:val="Table1"/>
        <w:tblW w:w="937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000"/>
        <w:gridCol w:w="1365"/>
        <w:gridCol w:w="1635"/>
        <w:gridCol w:w="1500"/>
        <w:gridCol w:w="1875"/>
        <w:tblGridChange w:id="0">
          <w:tblGrid>
            <w:gridCol w:w="3000"/>
            <w:gridCol w:w="1365"/>
            <w:gridCol w:w="1635"/>
            <w:gridCol w:w="1500"/>
            <w:gridCol w:w="18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Observation Criteria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Partial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No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Evidence / Impact 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Visual Clarity: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Is the board/screen free of "visual noise" (clutter, unrelated text) during the lesson?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Sensory Audit: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Is background noise minimized? Are "fidgety" students seated where they can move without distracting others?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Visual Anchors: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sound mats or grapheme charts accessible on desks (not just on the wall) to support independent recall?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Seating: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students with attention needs seated within the "action zone" (close to the teacher/board) but away from high-traffic distractions?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Section 2: Instructional Delivery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Is the teaching style adapted for processing speed and working memory?</w:t>
      </w:r>
    </w:p>
    <w:tbl>
      <w:tblPr>
        <w:tblStyle w:val="Table2"/>
        <w:tblW w:w="937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955"/>
        <w:gridCol w:w="1455"/>
        <w:gridCol w:w="1770"/>
        <w:gridCol w:w="1320"/>
        <w:gridCol w:w="1875"/>
        <w:tblGridChange w:id="0">
          <w:tblGrid>
            <w:gridCol w:w="2955"/>
            <w:gridCol w:w="1455"/>
            <w:gridCol w:w="1770"/>
            <w:gridCol w:w="1320"/>
            <w:gridCol w:w="18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Observation Criteria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Partial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No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Evidence / Impact 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Continuous Phonation: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Does the teacher model "stretching" sounds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  <w:rtl w:val="0"/>
              </w:rPr>
              <w:t xml:space="preserve">mmmm-aaaa-nnnn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) rather than clipping them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  <w:rtl w:val="0"/>
              </w:rPr>
              <w:t xml:space="preserve">m-a-n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) to aid blending?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Pacing: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Is there adequate "wait time" (3-5 seconds) between asking a question and requiring a response?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Explicit Patterns: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Does the teacher explicitly point out visual patterns/rules rather than relying on students to "hear" the difference?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Dual Coding: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verbal instructions accompanied by a visual cue or gesture (e.g., a hand signal for "my turn, your turn")?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Section 3: Scaffolding &amp; Working Memory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Are scaffolds present to bridge the gap between decoding and blending?</w:t>
      </w:r>
    </w:p>
    <w:tbl>
      <w:tblPr>
        <w:tblStyle w:val="Table3"/>
        <w:tblW w:w="937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955"/>
        <w:gridCol w:w="1500"/>
        <w:gridCol w:w="1620"/>
        <w:gridCol w:w="1425"/>
        <w:gridCol w:w="1875"/>
        <w:tblGridChange w:id="0">
          <w:tblGrid>
            <w:gridCol w:w="2955"/>
            <w:gridCol w:w="1500"/>
            <w:gridCol w:w="1620"/>
            <w:gridCol w:w="1425"/>
            <w:gridCol w:w="18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Observation Criteria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Partial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No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Evidence / Impact 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Cumulative Blending: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students taught to blend as they go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  <w:rtl w:val="0"/>
              </w:rPr>
              <w:t xml:space="preserve">f-l -&gt; fl -&gt; i -&gt; fli...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) rather than holding all sounds at once?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Chunking: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longer words physically broken down (visually or with tiles) into manageable syllables or morphemes?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Memory Offloading: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manipulatives (counters, sound buttons, magnetic letters) used so students don't have to hold everything in their head?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Concrete Connections: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abstract rules linked to concrete hooks (e.g., colour-coding, stories, or characters)?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Section 4: Engagement &amp; Multisensory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Is the lesson accessible for ADHD/Dyspraxic learners?</w:t>
      </w:r>
    </w:p>
    <w:tbl>
      <w:tblPr>
        <w:tblStyle w:val="Table4"/>
        <w:tblW w:w="937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820"/>
        <w:gridCol w:w="1635"/>
        <w:gridCol w:w="1800"/>
        <w:gridCol w:w="1245"/>
        <w:gridCol w:w="1875"/>
        <w:tblGridChange w:id="0">
          <w:tblGrid>
            <w:gridCol w:w="2820"/>
            <w:gridCol w:w="1635"/>
            <w:gridCol w:w="1800"/>
            <w:gridCol w:w="1245"/>
            <w:gridCol w:w="18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Observation Criteria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Partial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No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Evidence / Impact 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Active Participation: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Does the lesson involve movement (standing up, air writing, jumping) rather than just passive listening?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Tactile Input: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students given opportunities to write/trace sounds in different textures (sand, air, on backs) to reinforce memory?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High Frequency/Low Stakes: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Are there frequent opportunities for success to maintain dopamine/motivation levels (e.g., choral repetition)?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Summary of Feedback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Strengths (What is working well for neurodivergent learners?):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Key Action Step (One specific change to reduce the cognitive bottleneck):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1162050</wp:posOffset>
            </wp:positionH>
            <wp:positionV relativeFrom="paragraph">
              <wp:posOffset>2581275</wp:posOffset>
            </wp:positionV>
            <wp:extent cx="3614738" cy="1204913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120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